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D5" w:rsidRPr="00D762D5" w:rsidRDefault="00D762D5" w:rsidP="00D76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D5">
        <w:rPr>
          <w:rFonts w:ascii="Times New Roman" w:hAnsi="Times New Roman" w:cs="Times New Roman"/>
          <w:b/>
          <w:sz w:val="28"/>
          <w:szCs w:val="28"/>
        </w:rPr>
        <w:t xml:space="preserve">Информация по итогам контрольного мероприятия </w:t>
      </w:r>
      <w:r w:rsidRPr="00D762D5">
        <w:rPr>
          <w:rFonts w:ascii="Times New Roman" w:hAnsi="Times New Roman" w:cs="Times New Roman"/>
          <w:b/>
          <w:sz w:val="28"/>
          <w:szCs w:val="28"/>
        </w:rPr>
        <w:t xml:space="preserve">«Проверка законного и результативного, эффективного (экономного) использования средств областного и местного бюджета, предоставленных </w:t>
      </w:r>
      <w:proofErr w:type="spellStart"/>
      <w:r w:rsidRPr="00D762D5">
        <w:rPr>
          <w:rFonts w:ascii="Times New Roman" w:hAnsi="Times New Roman" w:cs="Times New Roman"/>
          <w:b/>
          <w:sz w:val="28"/>
          <w:szCs w:val="28"/>
        </w:rPr>
        <w:t>Батаминскому</w:t>
      </w:r>
      <w:proofErr w:type="spellEnd"/>
      <w:r w:rsidRPr="00D762D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762D5">
        <w:rPr>
          <w:rFonts w:ascii="Times New Roman" w:hAnsi="Times New Roman" w:cs="Times New Roman"/>
          <w:b/>
          <w:sz w:val="28"/>
          <w:szCs w:val="28"/>
        </w:rPr>
        <w:t>Зулумайскому</w:t>
      </w:r>
      <w:proofErr w:type="spellEnd"/>
      <w:r w:rsidRPr="00D762D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762D5">
        <w:rPr>
          <w:rFonts w:ascii="Times New Roman" w:hAnsi="Times New Roman" w:cs="Times New Roman"/>
          <w:b/>
          <w:sz w:val="28"/>
          <w:szCs w:val="28"/>
        </w:rPr>
        <w:t>Кимильтейскому</w:t>
      </w:r>
      <w:proofErr w:type="spellEnd"/>
      <w:r w:rsidRPr="00D762D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762D5">
        <w:rPr>
          <w:rFonts w:ascii="Times New Roman" w:hAnsi="Times New Roman" w:cs="Times New Roman"/>
          <w:b/>
          <w:sz w:val="28"/>
          <w:szCs w:val="28"/>
        </w:rPr>
        <w:t>Масляногорскому</w:t>
      </w:r>
      <w:proofErr w:type="spellEnd"/>
      <w:r w:rsidRPr="00D762D5">
        <w:rPr>
          <w:rFonts w:ascii="Times New Roman" w:hAnsi="Times New Roman" w:cs="Times New Roman"/>
          <w:b/>
          <w:sz w:val="28"/>
          <w:szCs w:val="28"/>
        </w:rPr>
        <w:t xml:space="preserve">, Покровскому, </w:t>
      </w:r>
      <w:proofErr w:type="spellStart"/>
      <w:r w:rsidRPr="00D762D5">
        <w:rPr>
          <w:rFonts w:ascii="Times New Roman" w:hAnsi="Times New Roman" w:cs="Times New Roman"/>
          <w:b/>
          <w:sz w:val="28"/>
          <w:szCs w:val="28"/>
        </w:rPr>
        <w:t>Услонскому</w:t>
      </w:r>
      <w:proofErr w:type="spellEnd"/>
      <w:r w:rsidRPr="00D762D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762D5">
        <w:rPr>
          <w:rFonts w:ascii="Times New Roman" w:hAnsi="Times New Roman" w:cs="Times New Roman"/>
          <w:b/>
          <w:sz w:val="28"/>
          <w:szCs w:val="28"/>
        </w:rPr>
        <w:t>Ухтуйскому</w:t>
      </w:r>
      <w:proofErr w:type="spellEnd"/>
      <w:r w:rsidRPr="00D762D5">
        <w:rPr>
          <w:rFonts w:ascii="Times New Roman" w:hAnsi="Times New Roman" w:cs="Times New Roman"/>
          <w:b/>
          <w:sz w:val="28"/>
          <w:szCs w:val="28"/>
        </w:rPr>
        <w:t xml:space="preserve">, Филипповскому, </w:t>
      </w:r>
      <w:proofErr w:type="spellStart"/>
      <w:r w:rsidRPr="00D762D5">
        <w:rPr>
          <w:rFonts w:ascii="Times New Roman" w:hAnsi="Times New Roman" w:cs="Times New Roman"/>
          <w:b/>
          <w:sz w:val="28"/>
          <w:szCs w:val="28"/>
        </w:rPr>
        <w:t>Хазанскому</w:t>
      </w:r>
      <w:proofErr w:type="spellEnd"/>
      <w:r w:rsidRPr="00D762D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762D5">
        <w:rPr>
          <w:rFonts w:ascii="Times New Roman" w:hAnsi="Times New Roman" w:cs="Times New Roman"/>
          <w:b/>
          <w:sz w:val="28"/>
          <w:szCs w:val="28"/>
        </w:rPr>
        <w:t>Харайгунскому</w:t>
      </w:r>
      <w:proofErr w:type="spellEnd"/>
      <w:r w:rsidRPr="00D762D5">
        <w:rPr>
          <w:rFonts w:ascii="Times New Roman" w:hAnsi="Times New Roman" w:cs="Times New Roman"/>
          <w:b/>
          <w:sz w:val="28"/>
          <w:szCs w:val="28"/>
        </w:rPr>
        <w:t xml:space="preserve"> муниципальным образованиям на реализацию проектов народных инициатив» в 2023 году</w:t>
      </w:r>
    </w:p>
    <w:p w:rsidR="00C8373B" w:rsidRDefault="00D762D5" w:rsidP="00D762D5">
      <w:pPr>
        <w:jc w:val="both"/>
        <w:rPr>
          <w:rFonts w:ascii="Times New Roman" w:hAnsi="Times New Roman" w:cs="Times New Roman"/>
          <w:sz w:val="28"/>
          <w:szCs w:val="28"/>
        </w:rPr>
      </w:pPr>
      <w:r w:rsidRPr="00D762D5">
        <w:rPr>
          <w:rFonts w:ascii="Times New Roman" w:hAnsi="Times New Roman" w:cs="Times New Roman"/>
          <w:sz w:val="28"/>
          <w:szCs w:val="28"/>
        </w:rPr>
        <w:t xml:space="preserve">Контрольное мероприятие   «Проверка законного и результативного, эффективного (экономного) использования средств областного и местного бюджета, предоставленных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Батаминскому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Зулумайскому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Кимильтейскому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Масляногорскому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, Покровскому,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Услонскому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Ухтуйскому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, Филипповскому,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Хазанскому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Харайгунскому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 муниципальным образованиям на реализацию проектов народных инициатив» в 2023 году, проведено на основании п. 2 ст. 265 Бюджетного кодекса Российской Федерации (далее — БК РФ), ч.3 ст.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образования, утвержденное Решением Думы 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 муниципального района 28.10.2021  № 146, п.1.1 раздела 1 Плана деятельности Контрольно-счетной палаты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(далее- КСП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 района) на 2024 год, распоряжения председателя Контрольно-счетной палаты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01-24/01 от 15.01.2024 г. «О проведении контрольного мероприятия».</w:t>
      </w:r>
      <w:r w:rsidR="00CD2BEF">
        <w:rPr>
          <w:rFonts w:ascii="Times New Roman" w:hAnsi="Times New Roman" w:cs="Times New Roman"/>
          <w:sz w:val="28"/>
          <w:szCs w:val="28"/>
        </w:rPr>
        <w:t xml:space="preserve"> </w:t>
      </w:r>
      <w:r w:rsidRPr="00D762D5">
        <w:rPr>
          <w:rFonts w:ascii="Times New Roman" w:hAnsi="Times New Roman" w:cs="Times New Roman"/>
          <w:sz w:val="28"/>
          <w:szCs w:val="28"/>
        </w:rPr>
        <w:t xml:space="preserve">Субсидия бюджетам муниципальных образований, расходование которой проверялось в рамках контрольного мероприятия, предусмотрена Законом Иркутской области от 12 декабря 2022 года № 112-О3 «Об областном бюджете на 2023 год и на плановый период 2024 и 2025 годов». Финансирование расходов, связанных с реализацией мероприятий проектов народных инициатив в 2023 году 10 муниципальным образований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 района, соответствует поставленным целям. Порядок предоставления и расходования в  2023 году субсидий из областного бюджета местным бюджетам в целях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утвержден Положением о предоставлении и расходовании субсидий из областного бюджета местным бюджетам в целях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 постановлением Правительства Иркутской области от 14 февраля 2019 года № 108-пп, </w:t>
      </w:r>
      <w:r w:rsidRPr="00D762D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соответствует установленным требованиям. В соответствии с заключенными соглашениями в 2023 году объем субсидии, предоставляемый бюджетам 10 муниципальных образований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 района с объемом субсидий за счет средств областного бюджета 5357,6тыс. руб.(в том числе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Батаминское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 МО-591,1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Зулумайское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 МО-300,0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Кимильтейское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 СП-1129,9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Масляногорское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 СП -471,4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., Покровское МО-400,0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Услонское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 МО-512,0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Ухтуйское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 МО-625,8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., Филипповское МО-300,0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Хазанское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 МО-627,4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Харайгунское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 МО-400,0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 за счет средств бюджетов муниципальных образований в сумме 134,1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.(в том числе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Батаминское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 МО-18,3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Зулумайское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 МО-3,1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Кимильтейское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 СП-23,1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Масляногорское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 СП -9,7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., Покровское МО-8,2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Услонское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 МО-21,4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Ухтуйское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 МО-26,1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., Филипповское МО-3,1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Хазанское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 МО-12,9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Харайгунское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 МО-8,2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.).Перечни проектов народных инициатив на 2023 одобрены протоколами схода граждан населенных пунктов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 района. При обсуждении проектов народных инициатив на собраниях, не везде принимает участие 1/3 жителей муниципального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образования.Реестры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 расходных обязательств составлены в соответствии со статьей 87 БК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РФ.Принцип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 эффективности, результативности использования бюджетных средств (ст.34 БК РФ), по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Масляногорскому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 сельскому поселению следует квалифицировать как не достигнутым, из объема финансирования 481,1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. исполнение 371,4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. или 77%. По 9 муниципальным образованиям исполнение 100%. Всего выявлено нарушений на сумму 1396,9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., в том числе нарушения ст.34 БК РФ неэффективное использование бюджетных средств и имущества на сумму 748,5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., нарушения бюджетного законодательства на сумму 2,4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., нарушения бухгалтерского учета на сумму 646,0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 xml:space="preserve">., иные нарушения на сумму 12,0 </w:t>
      </w:r>
      <w:proofErr w:type="spellStart"/>
      <w:r w:rsidRPr="00D762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762D5">
        <w:rPr>
          <w:rFonts w:ascii="Times New Roman" w:hAnsi="Times New Roman" w:cs="Times New Roman"/>
          <w:sz w:val="28"/>
          <w:szCs w:val="28"/>
        </w:rPr>
        <w:t>. По результатам контрольного мероприятия вынесено 11 представлений объектам контроля для устранения нарушений и не допущению вновь.</w:t>
      </w:r>
    </w:p>
    <w:p w:rsidR="00CD2BEF" w:rsidRPr="00F34FD3" w:rsidRDefault="00CD2BEF" w:rsidP="00F34FD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4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О</w:t>
      </w:r>
      <w:r w:rsidRPr="00F34FD3">
        <w:rPr>
          <w:rFonts w:ascii="Times New Roman" w:hAnsi="Times New Roman" w:cs="Times New Roman"/>
          <w:sz w:val="28"/>
          <w:szCs w:val="28"/>
          <w:shd w:val="clear" w:color="auto" w:fill="FFFFFF"/>
        </w:rPr>
        <w:t>тчет о результатах</w:t>
      </w:r>
      <w:r w:rsidRPr="00F34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контрольного мероприятия направлен</w:t>
      </w:r>
      <w:r w:rsidRPr="00F34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мэру </w:t>
      </w:r>
      <w:proofErr w:type="spellStart"/>
      <w:r w:rsidRPr="00F34FD3">
        <w:rPr>
          <w:rFonts w:ascii="Times New Roman" w:hAnsi="Times New Roman" w:cs="Times New Roman"/>
          <w:sz w:val="28"/>
          <w:szCs w:val="28"/>
          <w:shd w:val="clear" w:color="auto" w:fill="FFFFFF"/>
        </w:rPr>
        <w:t>Зиминского</w:t>
      </w:r>
      <w:proofErr w:type="spellEnd"/>
      <w:r w:rsidRPr="00F34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районного муниципального образования, в</w:t>
      </w:r>
      <w:r w:rsidRPr="00F34FD3">
        <w:rPr>
          <w:rFonts w:ascii="Times New Roman" w:hAnsi="Times New Roman" w:cs="Times New Roman"/>
          <w:sz w:val="28"/>
          <w:szCs w:val="28"/>
        </w:rPr>
        <w:t xml:space="preserve">   </w:t>
      </w:r>
      <w:r w:rsidRPr="00F34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Думу </w:t>
      </w:r>
      <w:proofErr w:type="spellStart"/>
      <w:r w:rsidRPr="00F34FD3">
        <w:rPr>
          <w:rFonts w:ascii="Times New Roman" w:hAnsi="Times New Roman" w:cs="Times New Roman"/>
          <w:sz w:val="28"/>
          <w:szCs w:val="28"/>
          <w:shd w:val="clear" w:color="auto" w:fill="FFFFFF"/>
        </w:rPr>
        <w:t>Зиминского</w:t>
      </w:r>
      <w:proofErr w:type="spellEnd"/>
      <w:r w:rsidRPr="00F34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районного муниципального образования.      </w:t>
      </w:r>
    </w:p>
    <w:p w:rsidR="00CD2BEF" w:rsidRPr="00F34FD3" w:rsidRDefault="00F34FD3" w:rsidP="00F34FD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2BEF" w:rsidRPr="00F34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заключенным соглашением</w:t>
      </w:r>
      <w:r w:rsidR="00CD2BEF" w:rsidRPr="00F34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отчет </w:t>
      </w:r>
      <w:r w:rsidR="00CD2BEF" w:rsidRPr="00F34FD3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</w:t>
      </w:r>
      <w:r w:rsidR="00CD2BEF" w:rsidRPr="00F34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 </w:t>
      </w:r>
      <w:r w:rsidR="00CD2BEF" w:rsidRPr="00F34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CD2BEF" w:rsidRPr="00F34FD3">
        <w:rPr>
          <w:rFonts w:ascii="Times New Roman" w:hAnsi="Times New Roman" w:cs="Times New Roman"/>
          <w:sz w:val="28"/>
          <w:szCs w:val="28"/>
          <w:shd w:val="clear" w:color="auto" w:fill="FFFFFF"/>
        </w:rPr>
        <w:t>Зиминскую</w:t>
      </w:r>
      <w:proofErr w:type="spellEnd"/>
      <w:r w:rsidR="00CD2BEF" w:rsidRPr="00F34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межрайонную прокуратуру</w:t>
      </w:r>
      <w:r w:rsidR="00CD2BEF" w:rsidRPr="00F34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Pr="00F34FD3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правовой оценки.</w:t>
      </w:r>
    </w:p>
    <w:p w:rsidR="00CD2BEF" w:rsidRDefault="00CD2BEF" w:rsidP="00CD2BEF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9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F34FD3" w:rsidRDefault="00F34FD3" w:rsidP="00CD2BEF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F34FD3" w:rsidRDefault="00F34FD3" w:rsidP="00CD2BEF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4FD3" w:rsidRDefault="00F34FD3" w:rsidP="00CD2BEF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4FD3" w:rsidRDefault="00F34FD3" w:rsidP="00CD2BEF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BEF" w:rsidRPr="00143A87" w:rsidRDefault="00F34FD3" w:rsidP="00CD2BEF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CD2BEF" w:rsidRPr="00143A87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36"/>
        <w:gridCol w:w="1909"/>
      </w:tblGrid>
      <w:tr w:rsidR="00CD2BEF" w:rsidRPr="00143A87" w:rsidTr="00E33168">
        <w:tc>
          <w:tcPr>
            <w:tcW w:w="7763" w:type="dxa"/>
          </w:tcPr>
          <w:p w:rsidR="00CD2BEF" w:rsidRPr="00D553D3" w:rsidRDefault="00CD2BEF" w:rsidP="00E331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субъекта контрольного мероприятия</w:t>
            </w:r>
          </w:p>
          <w:p w:rsidR="00CD2BEF" w:rsidRPr="00D553D3" w:rsidRDefault="00CD2BEF" w:rsidP="00E331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CD2BEF" w:rsidRPr="00D553D3" w:rsidRDefault="00CD2BEF" w:rsidP="00E331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</w:t>
            </w:r>
            <w:proofErr w:type="spellStart"/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ед.изм</w:t>
            </w:r>
            <w:proofErr w:type="spellEnd"/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CD2BEF" w:rsidRPr="00D553D3" w:rsidRDefault="00CD2BEF" w:rsidP="00E331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</w:t>
            </w:r>
            <w:proofErr w:type="spellStart"/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D2BEF" w:rsidRPr="00143A87" w:rsidTr="00E33168">
        <w:tc>
          <w:tcPr>
            <w:tcW w:w="7763" w:type="dxa"/>
          </w:tcPr>
          <w:p w:rsidR="00CD2BEF" w:rsidRPr="001A0469" w:rsidRDefault="00CD2BEF" w:rsidP="00E3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469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A046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законного и результативного, эффективного (экономного) использования средств областного и местного бюджета, предоставленных </w:t>
            </w:r>
            <w:proofErr w:type="spellStart"/>
            <w:r w:rsidRPr="001A0469">
              <w:rPr>
                <w:rFonts w:ascii="Times New Roman" w:hAnsi="Times New Roman" w:cs="Times New Roman"/>
                <w:sz w:val="20"/>
                <w:szCs w:val="20"/>
              </w:rPr>
              <w:t>Батаминскому</w:t>
            </w:r>
            <w:proofErr w:type="spellEnd"/>
            <w:r w:rsidRPr="001A04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0469">
              <w:rPr>
                <w:rFonts w:ascii="Times New Roman" w:hAnsi="Times New Roman" w:cs="Times New Roman"/>
                <w:sz w:val="20"/>
                <w:szCs w:val="20"/>
              </w:rPr>
              <w:t>Зулумайскому</w:t>
            </w:r>
            <w:proofErr w:type="spellEnd"/>
            <w:r w:rsidRPr="001A04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0469">
              <w:rPr>
                <w:rFonts w:ascii="Times New Roman" w:hAnsi="Times New Roman" w:cs="Times New Roman"/>
                <w:sz w:val="20"/>
                <w:szCs w:val="20"/>
              </w:rPr>
              <w:t>Кимильтейскому</w:t>
            </w:r>
            <w:proofErr w:type="spellEnd"/>
            <w:r w:rsidRPr="001A04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0469">
              <w:rPr>
                <w:rFonts w:ascii="Times New Roman" w:hAnsi="Times New Roman" w:cs="Times New Roman"/>
                <w:sz w:val="20"/>
                <w:szCs w:val="20"/>
              </w:rPr>
              <w:t>Масляногорскому</w:t>
            </w:r>
            <w:proofErr w:type="spellEnd"/>
            <w:r w:rsidRPr="001A0469">
              <w:rPr>
                <w:rFonts w:ascii="Times New Roman" w:hAnsi="Times New Roman" w:cs="Times New Roman"/>
                <w:sz w:val="20"/>
                <w:szCs w:val="20"/>
              </w:rPr>
              <w:t xml:space="preserve">, Покровскому, </w:t>
            </w:r>
            <w:proofErr w:type="spellStart"/>
            <w:r w:rsidRPr="001A0469">
              <w:rPr>
                <w:rFonts w:ascii="Times New Roman" w:hAnsi="Times New Roman" w:cs="Times New Roman"/>
                <w:sz w:val="20"/>
                <w:szCs w:val="20"/>
              </w:rPr>
              <w:t>Услонскому</w:t>
            </w:r>
            <w:proofErr w:type="spellEnd"/>
            <w:r w:rsidRPr="001A04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0469">
              <w:rPr>
                <w:rFonts w:ascii="Times New Roman" w:hAnsi="Times New Roman" w:cs="Times New Roman"/>
                <w:sz w:val="20"/>
                <w:szCs w:val="20"/>
              </w:rPr>
              <w:t>Ухтуйскому</w:t>
            </w:r>
            <w:proofErr w:type="spellEnd"/>
            <w:r w:rsidRPr="001A0469">
              <w:rPr>
                <w:rFonts w:ascii="Times New Roman" w:hAnsi="Times New Roman" w:cs="Times New Roman"/>
                <w:sz w:val="20"/>
                <w:szCs w:val="20"/>
              </w:rPr>
              <w:t xml:space="preserve">, Филипповскому, </w:t>
            </w:r>
            <w:proofErr w:type="spellStart"/>
            <w:r w:rsidRPr="001A0469">
              <w:rPr>
                <w:rFonts w:ascii="Times New Roman" w:hAnsi="Times New Roman" w:cs="Times New Roman"/>
                <w:sz w:val="20"/>
                <w:szCs w:val="20"/>
              </w:rPr>
              <w:t>Хазанскому</w:t>
            </w:r>
            <w:proofErr w:type="spellEnd"/>
            <w:r w:rsidRPr="001A04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0469">
              <w:rPr>
                <w:rFonts w:ascii="Times New Roman" w:hAnsi="Times New Roman" w:cs="Times New Roman"/>
                <w:sz w:val="20"/>
                <w:szCs w:val="20"/>
              </w:rPr>
              <w:t>Харайгунскому</w:t>
            </w:r>
            <w:proofErr w:type="spellEnd"/>
            <w:r w:rsidRPr="001A046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образованиям на реализацию проектов народных инициатив» в 2023 году.</w:t>
            </w:r>
          </w:p>
          <w:p w:rsidR="00CD2BEF" w:rsidRPr="00D553D3" w:rsidRDefault="00CD2BEF" w:rsidP="00E331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CD2BEF" w:rsidRPr="00D553D3" w:rsidRDefault="00CD2BEF" w:rsidP="00E331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BEF" w:rsidRPr="00143A87" w:rsidTr="00E33168">
        <w:tc>
          <w:tcPr>
            <w:tcW w:w="7763" w:type="dxa"/>
          </w:tcPr>
          <w:p w:rsidR="00CD2BEF" w:rsidRPr="00D553D3" w:rsidRDefault="00CD2BEF" w:rsidP="00E3316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1.Объем проверенных финансовых средств</w:t>
            </w:r>
          </w:p>
        </w:tc>
        <w:tc>
          <w:tcPr>
            <w:tcW w:w="1949" w:type="dxa"/>
          </w:tcPr>
          <w:p w:rsidR="00CD2BEF" w:rsidRPr="00D553D3" w:rsidRDefault="00CD2BEF" w:rsidP="00E331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5491,7</w:t>
            </w:r>
          </w:p>
        </w:tc>
      </w:tr>
      <w:tr w:rsidR="00CD2BEF" w:rsidRPr="00143A87" w:rsidTr="00E33168">
        <w:tc>
          <w:tcPr>
            <w:tcW w:w="7763" w:type="dxa"/>
          </w:tcPr>
          <w:p w:rsidR="00CD2BEF" w:rsidRPr="00D553D3" w:rsidRDefault="00CD2BEF" w:rsidP="00E3316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2.Количество выходных документов:</w:t>
            </w:r>
          </w:p>
        </w:tc>
        <w:tc>
          <w:tcPr>
            <w:tcW w:w="1949" w:type="dxa"/>
          </w:tcPr>
          <w:p w:rsidR="00CD2BEF" w:rsidRPr="00D553D3" w:rsidRDefault="00CD2BEF" w:rsidP="00E331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BEF" w:rsidRPr="00143A87" w:rsidTr="00E33168">
        <w:tc>
          <w:tcPr>
            <w:tcW w:w="7763" w:type="dxa"/>
          </w:tcPr>
          <w:p w:rsidR="00CD2BEF" w:rsidRPr="00D553D3" w:rsidRDefault="00CD2BEF" w:rsidP="00E331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-акты </w:t>
            </w:r>
          </w:p>
        </w:tc>
        <w:tc>
          <w:tcPr>
            <w:tcW w:w="1949" w:type="dxa"/>
          </w:tcPr>
          <w:p w:rsidR="00CD2BEF" w:rsidRPr="00D553D3" w:rsidRDefault="00CD2BEF" w:rsidP="00E331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D2BEF" w:rsidRPr="00143A87" w:rsidTr="00E33168">
        <w:tc>
          <w:tcPr>
            <w:tcW w:w="7763" w:type="dxa"/>
          </w:tcPr>
          <w:p w:rsidR="00CD2BEF" w:rsidRPr="00D553D3" w:rsidRDefault="00CD2BEF" w:rsidP="00E331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-отчет о результатах контрольного мероприятия</w:t>
            </w:r>
          </w:p>
        </w:tc>
        <w:tc>
          <w:tcPr>
            <w:tcW w:w="1949" w:type="dxa"/>
          </w:tcPr>
          <w:p w:rsidR="00CD2BEF" w:rsidRPr="00D553D3" w:rsidRDefault="00CD2BEF" w:rsidP="00E331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2BEF" w:rsidRPr="00143A87" w:rsidTr="00E33168">
        <w:tc>
          <w:tcPr>
            <w:tcW w:w="7763" w:type="dxa"/>
          </w:tcPr>
          <w:p w:rsidR="00CD2BEF" w:rsidRPr="00D553D3" w:rsidRDefault="00CD2BEF" w:rsidP="00E331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-представление</w:t>
            </w:r>
          </w:p>
        </w:tc>
        <w:tc>
          <w:tcPr>
            <w:tcW w:w="1949" w:type="dxa"/>
          </w:tcPr>
          <w:p w:rsidR="00CD2BEF" w:rsidRPr="00D553D3" w:rsidRDefault="00CD2BEF" w:rsidP="00E331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D2BEF" w:rsidRPr="00143A87" w:rsidTr="00E33168">
        <w:tc>
          <w:tcPr>
            <w:tcW w:w="7763" w:type="dxa"/>
          </w:tcPr>
          <w:p w:rsidR="00CD2BEF" w:rsidRPr="00D553D3" w:rsidRDefault="00CD2BEF" w:rsidP="00E331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-информационные письма</w:t>
            </w:r>
          </w:p>
        </w:tc>
        <w:tc>
          <w:tcPr>
            <w:tcW w:w="1949" w:type="dxa"/>
          </w:tcPr>
          <w:p w:rsidR="00CD2BEF" w:rsidRPr="00D553D3" w:rsidRDefault="00CD2BEF" w:rsidP="00E331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BEF" w:rsidRPr="00143A87" w:rsidTr="00E33168">
        <w:tc>
          <w:tcPr>
            <w:tcW w:w="7763" w:type="dxa"/>
          </w:tcPr>
          <w:p w:rsidR="00CD2BEF" w:rsidRPr="00D553D3" w:rsidRDefault="00CD2BEF" w:rsidP="00E3316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Выявлено нарушения законодательства по результатам проведенного контрольного мероприятия, всего на сумму,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D5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949" w:type="dxa"/>
          </w:tcPr>
          <w:p w:rsidR="00CD2BEF" w:rsidRPr="00D553D3" w:rsidRDefault="00CD2BEF" w:rsidP="00E331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28/1396,9</w:t>
            </w:r>
          </w:p>
        </w:tc>
      </w:tr>
      <w:tr w:rsidR="00CD2BEF" w:rsidRPr="00143A87" w:rsidTr="00E33168">
        <w:tc>
          <w:tcPr>
            <w:tcW w:w="7763" w:type="dxa"/>
          </w:tcPr>
          <w:p w:rsidR="00CD2BEF" w:rsidRPr="00D553D3" w:rsidRDefault="00CD2BEF" w:rsidP="00E3316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3.Выявлено нарушений бюджетного законодательства РФ всего на сумму, в </w:t>
            </w:r>
            <w:proofErr w:type="spellStart"/>
            <w:r w:rsidRPr="00D5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D5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1949" w:type="dxa"/>
          </w:tcPr>
          <w:p w:rsidR="00CD2BEF" w:rsidRPr="00D553D3" w:rsidRDefault="00CD2BEF" w:rsidP="00E331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6/750,9</w:t>
            </w:r>
          </w:p>
        </w:tc>
      </w:tr>
      <w:tr w:rsidR="00CD2BEF" w:rsidRPr="00143A87" w:rsidTr="00E33168">
        <w:tc>
          <w:tcPr>
            <w:tcW w:w="7763" w:type="dxa"/>
          </w:tcPr>
          <w:p w:rsidR="00CD2BEF" w:rsidRPr="00D553D3" w:rsidRDefault="00CD2BEF" w:rsidP="00E331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-нецелевое использование бюджетных средств</w:t>
            </w:r>
          </w:p>
        </w:tc>
        <w:tc>
          <w:tcPr>
            <w:tcW w:w="1949" w:type="dxa"/>
          </w:tcPr>
          <w:p w:rsidR="00CD2BEF" w:rsidRPr="00D553D3" w:rsidRDefault="00CD2BEF" w:rsidP="00E331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2BEF" w:rsidRPr="00143A87" w:rsidTr="00E33168">
        <w:tc>
          <w:tcPr>
            <w:tcW w:w="7763" w:type="dxa"/>
          </w:tcPr>
          <w:p w:rsidR="00CD2BEF" w:rsidRPr="00D553D3" w:rsidRDefault="00CD2BEF" w:rsidP="00E331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-принцип эффективности использования бюджетных средств (ст.34 БК РФ)</w:t>
            </w:r>
          </w:p>
        </w:tc>
        <w:tc>
          <w:tcPr>
            <w:tcW w:w="1949" w:type="dxa"/>
          </w:tcPr>
          <w:p w:rsidR="00CD2BEF" w:rsidRPr="00D553D3" w:rsidRDefault="00CD2BEF" w:rsidP="00E331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5/748,5</w:t>
            </w:r>
          </w:p>
        </w:tc>
      </w:tr>
      <w:tr w:rsidR="00CD2BEF" w:rsidRPr="00143A87" w:rsidTr="00E33168">
        <w:tc>
          <w:tcPr>
            <w:tcW w:w="7763" w:type="dxa"/>
          </w:tcPr>
          <w:p w:rsidR="00CD2BEF" w:rsidRPr="00D553D3" w:rsidRDefault="00CD2BEF" w:rsidP="00E331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-иные нарушения бюджетного законодательства</w:t>
            </w:r>
          </w:p>
        </w:tc>
        <w:tc>
          <w:tcPr>
            <w:tcW w:w="1949" w:type="dxa"/>
          </w:tcPr>
          <w:p w:rsidR="00CD2BEF" w:rsidRPr="00D553D3" w:rsidRDefault="00CD2BEF" w:rsidP="00E331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1/2,4</w:t>
            </w:r>
          </w:p>
        </w:tc>
      </w:tr>
      <w:tr w:rsidR="00CD2BEF" w:rsidRPr="00143A87" w:rsidTr="00E33168">
        <w:tc>
          <w:tcPr>
            <w:tcW w:w="7763" w:type="dxa"/>
          </w:tcPr>
          <w:p w:rsidR="00CD2BEF" w:rsidRPr="00D553D3" w:rsidRDefault="00CD2BEF" w:rsidP="00E3316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4.Выявлено нарушений в сфере закупок Федерального закона от05.04.2013 г.№ 44-ФЗ</w:t>
            </w:r>
          </w:p>
        </w:tc>
        <w:tc>
          <w:tcPr>
            <w:tcW w:w="1949" w:type="dxa"/>
          </w:tcPr>
          <w:p w:rsidR="00CD2BEF" w:rsidRPr="00D553D3" w:rsidRDefault="00CD2BEF" w:rsidP="00E331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3/0</w:t>
            </w:r>
          </w:p>
        </w:tc>
      </w:tr>
      <w:tr w:rsidR="00CD2BEF" w:rsidRPr="00143A87" w:rsidTr="00E33168">
        <w:tc>
          <w:tcPr>
            <w:tcW w:w="7763" w:type="dxa"/>
          </w:tcPr>
          <w:p w:rsidR="00CD2BEF" w:rsidRPr="00D553D3" w:rsidRDefault="00CD2BEF" w:rsidP="00E331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-сумму выявленных нарушений</w:t>
            </w:r>
          </w:p>
        </w:tc>
        <w:tc>
          <w:tcPr>
            <w:tcW w:w="1949" w:type="dxa"/>
          </w:tcPr>
          <w:p w:rsidR="00CD2BEF" w:rsidRPr="00D553D3" w:rsidRDefault="00CD2BEF" w:rsidP="00E331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2BEF" w:rsidRPr="00143A87" w:rsidTr="00E33168">
        <w:tc>
          <w:tcPr>
            <w:tcW w:w="7763" w:type="dxa"/>
          </w:tcPr>
          <w:p w:rsidR="00CD2BEF" w:rsidRPr="00D553D3" w:rsidRDefault="00CD2BEF" w:rsidP="00E331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-количество контрактов с выявленными нарушениями</w:t>
            </w:r>
          </w:p>
        </w:tc>
        <w:tc>
          <w:tcPr>
            <w:tcW w:w="1949" w:type="dxa"/>
          </w:tcPr>
          <w:p w:rsidR="00CD2BEF" w:rsidRPr="00D553D3" w:rsidRDefault="00CD2BEF" w:rsidP="00E331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3/0</w:t>
            </w:r>
          </w:p>
        </w:tc>
      </w:tr>
      <w:tr w:rsidR="00CD2BEF" w:rsidRPr="00143A87" w:rsidTr="00E33168">
        <w:trPr>
          <w:trHeight w:val="431"/>
        </w:trPr>
        <w:tc>
          <w:tcPr>
            <w:tcW w:w="7763" w:type="dxa"/>
          </w:tcPr>
          <w:p w:rsidR="00CD2BEF" w:rsidRPr="00D553D3" w:rsidRDefault="00CD2BEF" w:rsidP="00E3316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5.Выявлено нарушений иного законодательства всего на сумму</w:t>
            </w:r>
          </w:p>
        </w:tc>
        <w:tc>
          <w:tcPr>
            <w:tcW w:w="1949" w:type="dxa"/>
          </w:tcPr>
          <w:p w:rsidR="00CD2BEF" w:rsidRPr="00D553D3" w:rsidRDefault="00CD2BEF" w:rsidP="00E331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19/646,0</w:t>
            </w:r>
          </w:p>
        </w:tc>
      </w:tr>
      <w:tr w:rsidR="00CD2BEF" w:rsidRPr="00143A87" w:rsidTr="00E33168">
        <w:tc>
          <w:tcPr>
            <w:tcW w:w="7763" w:type="dxa"/>
          </w:tcPr>
          <w:p w:rsidR="00CD2BEF" w:rsidRPr="00D553D3" w:rsidRDefault="00CD2BEF" w:rsidP="00E331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-объем средств, использованных с нарушением бухгалтерского учета</w:t>
            </w:r>
          </w:p>
        </w:tc>
        <w:tc>
          <w:tcPr>
            <w:tcW w:w="1949" w:type="dxa"/>
          </w:tcPr>
          <w:p w:rsidR="00CD2BEF" w:rsidRPr="00D553D3" w:rsidRDefault="00CD2BEF" w:rsidP="00E331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7/646,0</w:t>
            </w:r>
          </w:p>
        </w:tc>
      </w:tr>
      <w:tr w:rsidR="00CD2BEF" w:rsidRPr="00143A87" w:rsidTr="00E33168">
        <w:tc>
          <w:tcPr>
            <w:tcW w:w="7763" w:type="dxa"/>
          </w:tcPr>
          <w:p w:rsidR="00CD2BEF" w:rsidRPr="00D553D3" w:rsidRDefault="00CD2BEF" w:rsidP="00E331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-иные нарушения законодательства</w:t>
            </w:r>
          </w:p>
        </w:tc>
        <w:tc>
          <w:tcPr>
            <w:tcW w:w="1949" w:type="dxa"/>
          </w:tcPr>
          <w:p w:rsidR="00CD2BEF" w:rsidRPr="00D553D3" w:rsidRDefault="00CD2BEF" w:rsidP="00E331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12/0</w:t>
            </w:r>
          </w:p>
        </w:tc>
      </w:tr>
      <w:tr w:rsidR="00CD2BEF" w:rsidRPr="00143A87" w:rsidTr="00E33168">
        <w:tc>
          <w:tcPr>
            <w:tcW w:w="7763" w:type="dxa"/>
          </w:tcPr>
          <w:p w:rsidR="00CD2BEF" w:rsidRPr="00D553D3" w:rsidRDefault="00CD2BEF" w:rsidP="00E3316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6.Рекомендовано к взысканию или возврату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949" w:type="dxa"/>
          </w:tcPr>
          <w:p w:rsidR="00CD2BEF" w:rsidRPr="00D553D3" w:rsidRDefault="00CD2BEF" w:rsidP="00E331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1/2,4</w:t>
            </w:r>
          </w:p>
        </w:tc>
      </w:tr>
      <w:tr w:rsidR="00CD2BEF" w:rsidRPr="00143A87" w:rsidTr="00E33168">
        <w:trPr>
          <w:trHeight w:val="335"/>
        </w:trPr>
        <w:tc>
          <w:tcPr>
            <w:tcW w:w="7763" w:type="dxa"/>
          </w:tcPr>
          <w:p w:rsidR="00CD2BEF" w:rsidRPr="00D553D3" w:rsidRDefault="00CD2BEF" w:rsidP="00E331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7.Объем причиненного ущерба (тыс. руб.) </w:t>
            </w:r>
          </w:p>
        </w:tc>
        <w:tc>
          <w:tcPr>
            <w:tcW w:w="1949" w:type="dxa"/>
          </w:tcPr>
          <w:p w:rsidR="00CD2BEF" w:rsidRPr="00D553D3" w:rsidRDefault="00CD2BEF" w:rsidP="00E331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CD2BEF" w:rsidRPr="00D762D5" w:rsidRDefault="00CD2BEF" w:rsidP="00D762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2BEF" w:rsidRPr="00D762D5" w:rsidSect="006378C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4C"/>
    <w:rsid w:val="00011E4C"/>
    <w:rsid w:val="00393029"/>
    <w:rsid w:val="00442B19"/>
    <w:rsid w:val="006378C9"/>
    <w:rsid w:val="00CD2BEF"/>
    <w:rsid w:val="00D762D5"/>
    <w:rsid w:val="00F3184F"/>
    <w:rsid w:val="00F3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722A4-E6BD-4D5D-A586-CDDBDA34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D2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D2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4</cp:revision>
  <dcterms:created xsi:type="dcterms:W3CDTF">2024-03-25T05:39:00Z</dcterms:created>
  <dcterms:modified xsi:type="dcterms:W3CDTF">2024-03-25T05:51:00Z</dcterms:modified>
</cp:coreProperties>
</file>